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F6" w:rsidRPr="00096AC8" w:rsidRDefault="009E40F6" w:rsidP="009E40F6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Autos nº (...) – Ordinária</w:t>
      </w: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(...), já qualificada nos autos da ação de resolução contratual cumulada com reintegração de posse que lhe move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por seus procuradores (documento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), que recebem intimações na (...), apresentar sua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Default="009E40F6" w:rsidP="009E4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CONTESTAÇÃO</w:t>
      </w:r>
    </w:p>
    <w:p w:rsidR="009E40F6" w:rsidRPr="009E40F6" w:rsidRDefault="009E40F6" w:rsidP="009E4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854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0F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E40F6">
        <w:rPr>
          <w:rFonts w:ascii="Times New Roman" w:hAnsi="Times New Roman" w:cs="Times New Roman"/>
          <w:sz w:val="28"/>
          <w:szCs w:val="28"/>
        </w:rPr>
        <w:t xml:space="preserve"> que faz com supedâneo no art. 335 e seguintes do Código de Processo Civil e nos argumentos fáticos e jurídicos que a seguir, articuladamente, passa a aduzir: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RESUMO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INICIAL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A autora pretende a resolução do contrato com 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reintegração na posse do imóvel, alegando, para tanto, que a ré </w:t>
      </w:r>
      <w:r w:rsidR="00062854" w:rsidRPr="009E40F6">
        <w:rPr>
          <w:rFonts w:ascii="Times New Roman" w:hAnsi="Times New Roman" w:cs="Times New Roman"/>
          <w:sz w:val="28"/>
          <w:szCs w:val="28"/>
        </w:rPr>
        <w:lastRenderedPageBreak/>
        <w:t>encontra-se inadimplente, notadamente em razão do pagamento das parcelas desde (...).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Realizada a audiência de conciliação, restou infrutífera, motivo pelo qual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se faz rebater os infundados argumentos da inicial.</w:t>
      </w:r>
    </w:p>
    <w:p w:rsidR="00062854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Isto porque a pretensão autoral, como formulada, é completamente despida de fundamento fático e jurídico.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FATOS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Em (...) a ré adquiriu da autora o apartamento (...) do Condomínio (...), localizado na Rua (...), pelo preço de R$ (...).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Todavia, o que não disse a autora, é que a ré deixou de pagar os valores em virtude da cobrança de juros e correções em desacordo com a lei.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Portanto, resta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desconfigurada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a culpa, apta a ensejar a mora. Em verdade, o caso vertente é de culpa exclusiva da autora, que cobra juros e correções ilegais.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Esqueceu</w:t>
      </w:r>
      <w:r>
        <w:rPr>
          <w:rFonts w:ascii="Times New Roman" w:hAnsi="Times New Roman" w:cs="Times New Roman"/>
          <w:sz w:val="28"/>
          <w:szCs w:val="28"/>
        </w:rPr>
        <w:tab/>
        <w:t xml:space="preserve">a autora </w:t>
      </w:r>
      <w:r w:rsidR="00062854" w:rsidRPr="009E40F6">
        <w:rPr>
          <w:rFonts w:ascii="Times New Roman" w:hAnsi="Times New Roman" w:cs="Times New Roman"/>
          <w:sz w:val="28"/>
          <w:szCs w:val="28"/>
        </w:rPr>
        <w:t>de</w:t>
      </w:r>
      <w:r w:rsidR="00062854" w:rsidRPr="009E40F6">
        <w:rPr>
          <w:rFonts w:ascii="Times New Roman" w:hAnsi="Times New Roman" w:cs="Times New Roman"/>
          <w:sz w:val="28"/>
          <w:szCs w:val="28"/>
        </w:rPr>
        <w:tab/>
        <w:t>mencionar,</w:t>
      </w:r>
      <w:r w:rsidR="00062854" w:rsidRPr="009E40F6">
        <w:rPr>
          <w:rFonts w:ascii="Times New Roman" w:hAnsi="Times New Roman" w:cs="Times New Roman"/>
          <w:sz w:val="28"/>
          <w:szCs w:val="28"/>
        </w:rPr>
        <w:tab/>
        <w:t>também,</w:t>
      </w:r>
      <w:r>
        <w:rPr>
          <w:rFonts w:ascii="Times New Roman" w:hAnsi="Times New Roman" w:cs="Times New Roman"/>
          <w:sz w:val="28"/>
          <w:szCs w:val="28"/>
        </w:rPr>
        <w:t xml:space="preserve"> que a ré </w:t>
      </w:r>
      <w:r w:rsidR="00062854" w:rsidRPr="009E40F6">
        <w:rPr>
          <w:rFonts w:ascii="Times New Roman" w:hAnsi="Times New Roman" w:cs="Times New Roman"/>
          <w:sz w:val="28"/>
          <w:szCs w:val="28"/>
        </w:rPr>
        <w:t>pagou</w:t>
      </w:r>
      <w:r w:rsidR="00B975F9" w:rsidRPr="009E40F6"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atualizados R$ (...) do valor total do imóvel, de acordo com comprovantes de pagamento anexos e planilha fornecida por ela própria (documento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), o que configura claramente o adimplemento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substancial apto a impedir a pretensão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Nesta medida: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Tribunal de Justiça de São Paulo. “Compromisso de compra e venda. Consignação em pagamento. Ação de rescisão de contrato em apenso.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Boa-fé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objetiva. Adimplemento substancial. Reconhecimento. Recurso provido. 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. Compromisso de venda e compra. Pedido de depósito judicial de prestações em atraso. Notificação para rescisão do ajuste. Cláusula resolutiva expressa.  Flexibilização.  Teoria  do  Adimplemento substancial.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 Compromisso de compra e venda. Pagamento do sinal e de dezessete prestações. Mora nas dez últimas prestações. Depósito judicial.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Subsequente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ação de rescisão do ajuste na qual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os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autores  reconhecerem valor inferior do débito e o interesse na purga da mora. 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3.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Teoria do adimplemento substancial, decorrente da cláusula geral da boa-fé. Autorização para a 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flexibilização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das regras quanto ao adimplemento contratual. O cumprimento da prestação assumida não pode ser analisado deforma isolada, mas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no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contexto de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toda a obrigação como um processo. 4. Sentença reformada. 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Recurso provido”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(Relator Carlos Alberto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Garbi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– Comarca: Jundiaí – Órgão julgador: 10ª Câmara de Direito Privado – Data do julgamento: 10.03.2015 – Data de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registro:12.03.2015).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Demais disso, pretende a autora inadmissível cumulação de perdas e danos com cláusula penal compensatória que, de qualquer forma, não podem ser pleiteadas.</w:t>
      </w:r>
    </w:p>
    <w:p w:rsidR="00062854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Como se demonstrará, tal pretensão é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descabida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a teor do art. 53 do Código de Defesa do Consumidor, até em virtude da ausência de culpa da ré, pressuposto do dever de indenizar no âmbito da responsabilidade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contratual.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PRELIMINARMENTE (CPC, ART.337)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Incorreção do valor dado à causa Atribuiu o autor à causa o valor de R$(...)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Todavia, no vertente caso, o valor da causa deve corresponder</w:t>
      </w:r>
      <w:proofErr w:type="gramStart"/>
      <w:r w:rsidRPr="009E40F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Pr="009E40F6">
        <w:rPr>
          <w:rFonts w:ascii="Times New Roman" w:hAnsi="Times New Roman" w:cs="Times New Roman"/>
          <w:sz w:val="28"/>
          <w:szCs w:val="28"/>
        </w:rPr>
        <w:t>ao</w:t>
      </w:r>
      <w:r w:rsidR="00B975F9" w:rsidRPr="009E40F6"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valor</w:t>
      </w:r>
      <w:r w:rsidR="009E40F6">
        <w:rPr>
          <w:rFonts w:ascii="Times New Roman" w:hAnsi="Times New Roman" w:cs="Times New Roman"/>
          <w:sz w:val="28"/>
          <w:szCs w:val="28"/>
        </w:rPr>
        <w:t xml:space="preserve"> do </w:t>
      </w:r>
      <w:r w:rsidRPr="009E40F6">
        <w:rPr>
          <w:rFonts w:ascii="Times New Roman" w:hAnsi="Times New Roman" w:cs="Times New Roman"/>
          <w:sz w:val="28"/>
          <w:szCs w:val="28"/>
        </w:rPr>
        <w:t>contrato</w:t>
      </w:r>
      <w:r w:rsidRPr="009E40F6">
        <w:rPr>
          <w:rFonts w:ascii="Times New Roman" w:hAnsi="Times New Roman" w:cs="Times New Roman"/>
          <w:sz w:val="28"/>
          <w:szCs w:val="28"/>
        </w:rPr>
        <w:tab/>
        <w:t>que</w:t>
      </w:r>
      <w:r w:rsidRPr="009E40F6">
        <w:rPr>
          <w:rFonts w:ascii="Times New Roman" w:hAnsi="Times New Roman" w:cs="Times New Roman"/>
          <w:sz w:val="28"/>
          <w:szCs w:val="28"/>
        </w:rPr>
        <w:tab/>
        <w:t>busca</w:t>
      </w:r>
      <w:r w:rsidRPr="009E40F6">
        <w:rPr>
          <w:rFonts w:ascii="Times New Roman" w:hAnsi="Times New Roman" w:cs="Times New Roman"/>
          <w:sz w:val="28"/>
          <w:szCs w:val="28"/>
        </w:rPr>
        <w:tab/>
        <w:t>desfazer</w:t>
      </w:r>
      <w:r w:rsidRPr="009E40F6">
        <w:rPr>
          <w:rFonts w:ascii="Times New Roman" w:hAnsi="Times New Roman" w:cs="Times New Roman"/>
          <w:sz w:val="28"/>
          <w:szCs w:val="28"/>
        </w:rPr>
        <w:tab/>
      </w:r>
      <w:r w:rsidR="009E40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E40F6">
        <w:rPr>
          <w:rFonts w:ascii="Times New Roman" w:hAnsi="Times New Roman" w:cs="Times New Roman"/>
          <w:sz w:val="28"/>
          <w:szCs w:val="28"/>
        </w:rPr>
        <w:t>fls</w:t>
      </w:r>
      <w:proofErr w:type="spellEnd"/>
      <w:r w:rsidR="009E40F6">
        <w:rPr>
          <w:rFonts w:ascii="Times New Roman" w:hAnsi="Times New Roman" w:cs="Times New Roman"/>
          <w:sz w:val="28"/>
          <w:szCs w:val="28"/>
        </w:rPr>
        <w:t>...)</w:t>
      </w:r>
      <w:r w:rsidR="009E40F6">
        <w:rPr>
          <w:rFonts w:ascii="Times New Roman" w:hAnsi="Times New Roman" w:cs="Times New Roman"/>
          <w:sz w:val="28"/>
          <w:szCs w:val="28"/>
        </w:rPr>
        <w:tab/>
        <w:t>ante</w:t>
      </w:r>
      <w:r w:rsidR="009E40F6">
        <w:rPr>
          <w:rFonts w:ascii="Times New Roman" w:hAnsi="Times New Roman" w:cs="Times New Roman"/>
          <w:sz w:val="28"/>
          <w:szCs w:val="28"/>
        </w:rPr>
        <w:tab/>
        <w:t xml:space="preserve">o cristalino </w:t>
      </w:r>
      <w:r w:rsidRPr="009E40F6">
        <w:rPr>
          <w:rFonts w:ascii="Times New Roman" w:hAnsi="Times New Roman" w:cs="Times New Roman"/>
          <w:sz w:val="28"/>
          <w:szCs w:val="28"/>
        </w:rPr>
        <w:t>mandamento do art. 292, II, do Código de Processo</w:t>
      </w:r>
      <w:r w:rsidR="009E40F6"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Civil.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“Art.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292.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O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valor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da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causa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constará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da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</w:r>
      <w:r w:rsidR="009E40F6" w:rsidRPr="009E40F6">
        <w:rPr>
          <w:rFonts w:ascii="Times New Roman" w:hAnsi="Times New Roman" w:cs="Times New Roman"/>
          <w:i/>
          <w:sz w:val="28"/>
          <w:szCs w:val="28"/>
        </w:rPr>
        <w:t>petição</w:t>
      </w:r>
      <w:r w:rsidR="009E40F6" w:rsidRPr="009E40F6">
        <w:rPr>
          <w:rFonts w:ascii="Times New Roman" w:hAnsi="Times New Roman" w:cs="Times New Roman"/>
          <w:i/>
          <w:sz w:val="28"/>
          <w:szCs w:val="28"/>
        </w:rPr>
        <w:tab/>
        <w:t xml:space="preserve">inicial </w:t>
      </w:r>
      <w:r w:rsidRPr="009E40F6">
        <w:rPr>
          <w:rFonts w:ascii="Times New Roman" w:hAnsi="Times New Roman" w:cs="Times New Roman"/>
          <w:i/>
          <w:sz w:val="28"/>
          <w:szCs w:val="28"/>
        </w:rPr>
        <w:t>ou</w:t>
      </w:r>
      <w:r w:rsidRPr="009E40F6">
        <w:rPr>
          <w:rFonts w:ascii="Times New Roman" w:hAnsi="Times New Roman" w:cs="Times New Roman"/>
          <w:i/>
          <w:sz w:val="28"/>
          <w:szCs w:val="28"/>
        </w:rPr>
        <w:tab/>
        <w:t>da reconvenção e</w:t>
      </w:r>
      <w:r w:rsidR="009E40F6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será: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(...)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>II – na ação que tiver por objeto a existência, a validade, o cumprimento,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a modificação, a resolução, 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resilição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ou a rescisão de ato jurídico, o valor do ato ou o de sua parte controvertida;”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Logo, o valor da causa deve ser corrigido por Vossa Excelência nos termos do art. 292, § 3º, do Código de Processo Civil, determinando o complemento das custas no prazo legal sob pena de indeferimento da inicial (CPC, art. 321, parágrafo único).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INCOMPETÊNCIA (CPC, ART.64)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O contrato questionado,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toda evidência, encerra relação de consumo.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Em consonância com o acatado, a ação deveria ter sido proposta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no domicílio do réu, ora contestante e não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foi.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Sendo assim, nos termos do art. 101, I do Código de Defesa do Consumidor, requer seja reconhecida a incompetência do juízo e determinada a remessa do processo ao foro (...), inclusive com a suspensão da audiência de conciliação já designada (CPC, art. 340).</w:t>
      </w:r>
    </w:p>
    <w:p w:rsidR="00062854" w:rsidRDefault="00062854" w:rsidP="009E40F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40F6">
        <w:rPr>
          <w:rFonts w:ascii="Times New Roman" w:hAnsi="Times New Roman" w:cs="Times New Roman"/>
          <w:color w:val="FF0000"/>
          <w:sz w:val="28"/>
          <w:szCs w:val="28"/>
        </w:rPr>
        <w:t>(Neste caso, nos termos do art. 340 do CPC, a contestação deve ser apresentada desde logo e não após a audiência ou petição que a dispensa).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ILEGITIMIDADE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PARTE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No vertente caso, embora o réu figure no contrato na qualidade de promitente comprador, certo é que cedeu os direitos ao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(...), conforme instrumento de cessão anexo (documento...).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Embora não tenha dado conhecimento à autora da vertente cessão, certo é que, nos termos do art. 338 do Código de Processo Civil, a autora deve ser intimada a se manifestar sobre a vertente preliminar e, bem assim, alterar a petição inicial, retificando-a, para substituir o ora contestante.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lastRenderedPageBreak/>
        <w:t>(demais preliminares do art. 337)</w:t>
      </w:r>
    </w:p>
    <w:p w:rsidR="00062854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Se assim não entender Vossa Excelência e, por cautela, passa o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réu a rebater os argumentos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inicial: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TABELA PRICE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ANATOCISMO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No (...) da cláusula (...), o contrato objeto da presente ação estipula que as parcelas são acrescidas de juros à razão de 1% ao mês pelo sistema da tabela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A tabela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– como é conhecido o sistema francês de amortizaçã</w:t>
      </w:r>
      <w:r>
        <w:rPr>
          <w:rFonts w:ascii="Times New Roman" w:hAnsi="Times New Roman" w:cs="Times New Roman"/>
          <w:sz w:val="28"/>
          <w:szCs w:val="28"/>
        </w:rPr>
        <w:t xml:space="preserve">o - </w:t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pode ser definida como o sistema em que, a partir do conceito de juros compostos ou capitalizados (juros sobre juros), elabora-se um plano de amortização em parcelas periódicas, iguais e sucessivas, considerado o termo vencido. Nesse caso, as parcelas são compostas de um valor referente aos juros, calculado sobre o saldo devedor amortizado, e outro referente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própria amortização.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Trata-se de juros capitalizados de forma composta na exata medida em que, sobre o saldo amortizado, é calculado o novo saldo com base nos juros sobre aquele aplicados, e, sobre este novo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saldo amortizado, mais uma vez os juros, e assim por diante.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Citando o preclaro professor Mário Geraldo Pereira, em dissertação de doutoramento, ensina José Dutra Vieira Sobrinho: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“A denominação Tabela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Price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se deve ao matemático, filósofo e teólogo inglês Richard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Price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, que viveu no século XVIII e que incorporou a teoria dos juros compostos às amortizações de empréstimos (ou financiamentos). A denominação “Sistema Francês”, de acordo com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o autor citado, deve-se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aofato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mesmo ter-se efetivamente desenvolvido na França, no Século XIX. Esse sistema consiste em um plano de amortização de uma dívida em prestações periódicas, iguais e sucessivas, dentro do conceito de termos vencidos, em que o valor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decada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prestação, ou pagamento, é composto por </w:t>
      </w: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>duas parcelas distintas: uma de juros e uma de capital (chamada amortização).” (Mário Geraldo Pereira, Plano básico de amortização pelo sistema francês e respectivo  fator de conversão. Dissertação (Doutoramento), São Paulo: FCEA, 1965 apud José Dutra Vieira Sobrinho, ob. cit., p.  220).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A tabela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é o sistema de amortização baseado na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capitalização</w:t>
      </w:r>
      <w:r w:rsidR="00B975F9" w:rsidRPr="009E40F6"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composta de juros. Ensina Walter Francisco: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“Tabela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price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é a capitalização dos  juros  compostos” (Walter  Francisco,</w:t>
      </w:r>
      <w:r w:rsidR="009E40F6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Matemática Financeira.  São Paulo:  Atlas, 1976).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No caso de tabela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, por definição, os juros são capitalizados de forma composta (juros sobre juros).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No caso vertente, há, portanto, sistema de amortização francês, e juros, quanto à capitalização, classificados como compostos (juros sobre juros).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Posta assim a questão, é de se dizer que os juros aplicados aos contratos não podem embutir capitalização composta (tabela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), conforme o art. 4º do Decreto 22.626/1933 – Lei da Usura, Súmula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121 do STF e remansosa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jurisprudência.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O art. 4º do Decreto 22.626/1933 está assim redigido: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“Art. 4º É proibido contar juros dos juros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(...)”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Aliás, nos ensina o insigne José Afonso da Silva: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“As cláusulas que estipularem juros superiores são nulas. A cobrança acima dos limites estabelecidos, diz o texto, será conceituada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como crime </w:t>
      </w: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>de usura, punido, em todas as suas modalidades, nos termos em  que a lei dispuser. Neste particular, parece-nos que a velha lei de usura (Dec. nº 22.626/33) ainda está em vigor” (José Afonso da Silva, Curso de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Direito Constitucional Positivo.  9. ed. São Paulo: Malheiros, 1994, p.  704).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A jurisprudência pátria tem se manifestado acerca do tema, que não é novo: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“Súmula 121 do STF: É vedada a capitalização de juros, ainda que expressamente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convencionada.”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Superior Tribunal de Justiça. “Civil e Comercial.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Juros.  Capitalização.  Lei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deusura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(STJ).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Somentese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admite a capitalização dos  juros  havendo norma legal que excepcione a regra proibitória estabelecida no art. 4º do Dec. 22.626/1933. Lei de Usura” (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nº 63.372-9-PR – Min. Costa Leite – unânime – 3ª Turma –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publ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em 18.08.1995 –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Florisberto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Alberto Berger x Banco Bandeirantes S.A., Volnei Luiz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Denardi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e Júlio Barbosa Lemes Filho).</w:t>
      </w:r>
    </w:p>
    <w:p w:rsidR="00062854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Tribunal de Justiça de São Paulo. “Compromisso de compra e venda. Pedido revisional de contrato fundado em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arguição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de ilegalidade </w:t>
      </w:r>
      <w:proofErr w:type="spellStart"/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daTabela</w:t>
      </w:r>
      <w:proofErr w:type="spellEnd"/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Price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Sentença de improcedência. Inconformismo dos autores. Provimento. Incontroversa utilização da Tabela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Price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para atualização do contrato. Posicionamento de que a utilização da Tabela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Price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implica ocorrência de juros sobre juros, vedada pelo ordenamento. Recurso provido” (Apelação  0016130-57.2009.8.26.0032  – Relator: 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PivaRodrigues</w:t>
      </w:r>
      <w:proofErr w:type="spellEnd"/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– Comarca: Araçatuba – Órgão julgador: 9ª Câmara de Direito Privado – Data do julgamento: 18.03.2014 – Data de registro:   26.03.2014).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DEVER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INDENIZAR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Tanto no caso de mora como no de inadimplemento absoluto,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se faz a culpa do devedor, sem a qual não se configurará a obrigação de pagar cláusula penal compensatória (perdas e danos), nos termos dos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 394, 396, 389 e 393 do novo Código Civil.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Na exata medida em que o inadimplemento absoluto ou a mora presumem a culpa do devedor, esta presunção é relativa (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juris</w:t>
      </w:r>
      <w:proofErr w:type="spellEnd"/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tantum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), de tal sorte que pode ser afastada pela comprovação, pelo devedor, que o descumprimento decorreu de fato causado  pelo  próprio credor (Código Civil de 1916, art. 963 e novo Código Civil, art. 396).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Esta é a lição de Silvio Rodrigues: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“...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a inexecução da obrigação só conduzirá ao dever de ressarcir,  se houve culpa do inadimplente (...) Assim, de pronto, se deduz ser a culpa elementar na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caracterização do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inadimplemento”(Silvio Rodrigues, Direito Civil – parte geral das obrigações. São Paulo: Saraiva, 1991, p. 307-308).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Resta completamente afastada a culpa da ré pela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morano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pagamento das parcelas, que decorreu única e exclusivamente das ilegalidades perpetradas pela autora que cobrou tabela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, ávida por lucros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exorbitantes.</w:t>
      </w:r>
    </w:p>
    <w:p w:rsidR="00062854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Portanto, inexiste dever de indenizar, seja através de cláusula penal compensatória, seja pela prova de perdas e danos, fazendo-se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o retorno ao status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quo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ante.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INADMISSÍVEL</w:t>
      </w:r>
      <w:proofErr w:type="gramStart"/>
      <w:r w:rsidRPr="009E40F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E40F6">
        <w:rPr>
          <w:rFonts w:ascii="Times New Roman" w:hAnsi="Times New Roman" w:cs="Times New Roman"/>
          <w:sz w:val="28"/>
          <w:szCs w:val="28"/>
        </w:rPr>
        <w:t>PRETENSÃO   DA   AUTORA   À   CUMULAÇÃO DE CLÁUSULA PENAL COMPENSATÓRIA E PERDAS E DANOS (BIS INIDEM)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Da leitura da cláusula (...) (documento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da inicial), invocados pela autora para pleitear cláusula penal compensatória, infere-se cláusula abusiva e nula nos termos dos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 51 e 53 do Código de Defesa do Consumidor.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A uma, porque afronta os precitados artigos e, a duas, porque cumula perdas e danos com cláusula penal compensatória, que já é prefixação das perdas e danos (bis in idem).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Ardilosamente,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na surdina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, a autora, sem demonstrar  claramente sua pretensão através de cálculos inequívocos, tenta induzir Vossa Excelência em erro e burlar o disposto no art. 53 da Lei 8.078/1990.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Pelo item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de sua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, com fundamento na indigitada cláusula 17, pretende: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(10%) custos administrativos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(0,65%) PIS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(2%) COFINS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(20%) Cláusula penal compensatória (§ 2º) (1%) ao mês de ocupação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(5%) ao ano de depreciação etc.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Ora Excelência, desta forma, apesar de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ter pago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mais de cem mil reais pelo apartamento – cujo valor total estipulado pela autora foi de cento e quarenta e quatro mil – a ré seria compelida  a restituir o  imóvel e, ainda, ficaria devendo! (documento2)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Assim, a perda das prestações pagas significaria genuíno enriquecimento ilícito por parte da autora, pois a ré, que pagou grande parte do preço, perderia o imóvel e as prestações pagas. Em contrapartida, a autora receberia de volta o imóvel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para  ser novamente vendido e conservaria os valores pagos pela ré (vide documento 2, fornecido pela autora à ré).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O importante é que não há possibilidade de cobrança da cláusula penal compensatória (prefixação das perdas e danos) conjuntamente com perdas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e  danos.  Entretanto,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é  exatamente  isso  que  pleiteia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autora.</w:t>
      </w:r>
      <w:r w:rsidR="00062854" w:rsidRPr="009E40F6">
        <w:rPr>
          <w:rFonts w:ascii="Times New Roman" w:hAnsi="Times New Roman" w:cs="Times New Roman"/>
          <w:sz w:val="28"/>
          <w:szCs w:val="28"/>
        </w:rPr>
        <w:tab/>
        <w:t>Admitida</w:t>
      </w:r>
      <w:r w:rsidR="00062854" w:rsidRPr="009E40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062854" w:rsidRPr="009E40F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eratológica e ilegal</w:t>
      </w:r>
      <w:r>
        <w:rPr>
          <w:rFonts w:ascii="Times New Roman" w:hAnsi="Times New Roman" w:cs="Times New Roman"/>
          <w:sz w:val="28"/>
          <w:szCs w:val="28"/>
        </w:rPr>
        <w:tab/>
        <w:t>pretensão,</w:t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estar-se-ia incorrendo em bis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inidem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Tribunal de Justiça de São Paulo. “Compromisso de compra e venda. Rescisão. Culpados compromissários compradores. Pretensão à cumulação de pena compensatória com o ressarcimento dos prejuízos reais. Inadmissibilidade. Critério que leva à perda da totalidade das prestações pagas. Ofensa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aoart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53, </w:t>
      </w:r>
      <w:proofErr w:type="spellStart"/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doCódigo</w:t>
      </w:r>
      <w:proofErr w:type="spellEnd"/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deDefesa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doConsumidor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.Direito apenas à pena compensatória, reduzida pela  </w:t>
      </w: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metade,diante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daexecução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parcial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docontrato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. Ação principal e reconvenção parcialmente procedentes. Se não há dúvida de que o inadimplemento contratual é dos compromissários compradores, por  estes confessados na inicial, a ação principal, que continha em um de seus pedidos a rescisão contratual, não poderia ser julgada inteiramente procedente. A procedência da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ação principal diz somente com o reembolso dos valores pagos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pelos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compromissários compradores. Julga-se também procedente em parte a reconvenção, para decretar a rescisão contratual por culpa dos compromissários compradores, com a condenação destes no pagamento da pena compensatória, reduzida à metade. É que viola o art. 53, do Código de  Defesa  do  Consumidor, sendo nula de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pleno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direito, a disposição contratual que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prevêa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cumulação da pena compensatória (cláusula penal)  com  a  reparação das perdas e danos efetivos, implicando na hipótese na perda total das quantias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pagas. A redução da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pena compensatória se  impõe, (...) porque, se de um lado os devedores executaram em parte o contrato,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deoutro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, em se tratando de contrato versando sobre imóvel em fase de construção, não obtiveram eles nenhum proveito da coisa” (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Apel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Cív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nº51.914-4 – São Paulo – 9ª Câmara de Direito Privado – rel.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Ruiter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Oliva – 11.08.1998 –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v.u.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Superior Tribunal de Justiça. “Direito civil. Rescisão de contrato de compra e venda de imóvel e reivindicatória. Cláusula penal e perdas e danos.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Inacumulabilidade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. É possível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emendar a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inicial,  convertendo pleito possessório em petitório, mormente quando efetuada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antesda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citação dos réus. Admissível a reivindicatória quando simultaneamente rescindido o contrato de compra e venda. O pagamento  de  cláusula  penal compensatória exclui a possibilidade de exigir-se ainda  a solução de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perdase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danos.Recursos especiais parcialmente conhecidos e, nessa parte, providos” (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556.620/MT – Recurso Especial 2003/0084103-7   –   Ministro   Cesar  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Asfor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 Rocha   –   Quarta   Turma</w:t>
      </w:r>
      <w:r w:rsidR="00B975F9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–</w:t>
      </w:r>
      <w:r w:rsidR="00B975F9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10.05.2004)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Ad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argumentandum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tantum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, já que não há falar-se em cláusula penal em virtude da ausência de culpa da ré, o art. 389 do Código Civil determina: Não cumprida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obrigação, responde o devedor por perdas e danos, mais juros e atualização monetária segundo índices oficiais regularmente estabelecidos, e honorários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advogado.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Entretanto, esses prejuízos devem ser provados e o ônus dessa prova pertence ao prejudicado.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Posta assim a questão, a autora não comprovou qualquer prejuízo; sequer o recolhimento dos tributos que pretende cobrar da ré.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Se o valor prefixado não é suficiente para cobrir as perdas e danos em face da inexecução, o credor deverá deixar de lado a estipulação da cláusula penal e cobrar os prejuízos experimentados provando-os, mas, jamais, cumular uns e outros.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Interpretando o art. 918 do Código Civil de 1916, que corresponde ao art. 410 do novo Código Civil,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ensina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Silvio Rodrigues: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“Portanto,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tem o devedor  a escolha.  Ou prefere o remédio ordinário que  a lei lhe confere, e reclama indenização dos danos, como se a cláusula penal inexistisse; ou,  se lhe parecer  mais conveniente,  demanda apenas a multa convencional, ficando dispensado de evidenciar a existência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dequalquer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prejuízo” (Silvio Rodrigues,Direito Civil. Parte geral. Das obrigações. São Paulo: Saraiva, 1991, p. 93).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CÓDIGO DE DEFESA DO CONSUMIDOR, ART. 53 – IMPOSSIBILIDADE DE PERDIMENTO DASPARCELAS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A jurisprudência pátria já firmou entendimento pacífico acerca da impossibilidade de perdimento das parcelas pagas nos termos pretendidos pela autora.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Com efeito, dispõe o art. 53 da Lei 8.078/1990: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“Nos contratos de compra e venda de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móveisou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imóveis mediante pagamento em prestações, bem como nas alienações fiduciárias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emgarantia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, consideram-se nulas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deplenodireito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as cláusulas que estabeleçam a perda total das prestações pagas em benefício do credor que,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em  razão  do  inadimplemento,  pleitear  a resolução do  contrato e  a</w:t>
      </w:r>
      <w:r w:rsidR="00B975F9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retomada do produto  alienado.”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Em tal situação, a perda total das prestações pagas significaria verdadeiro enriquecimento ilícito por parte do credor, pois o devedor que pagou parte do preço, mas não o pagou por inteiro, perderia a coisa e as prestações pagas. Em contrapartida, o credor receberia de volta a coisa e conservaria as prestações pagas (Alberto do Amaral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Jr., Comentários ao Código de Defesa do Consumidor – obra coletiva, coord. Juarez de Oliveira. São Paulo: Saraiva, 1991, p.202).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Nesse sentido, a ré pede vênia para citar as decisões abaixo colacionadas admitindo o perdimento de 10% dos valores pagos: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Superior Tribunal de Justiça. “Compromisso de compra e venda de imóvel. Perda de parte das prestações pagas.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Percentual  que  impõe  ônus exagerado para o promitente comprador.Contrato firmado na vigência do Código de Defesa do Consumidor. Possibilidade de redução pelo juiz. Razoabilidade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daretenção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de10% das parcelas pagas. Precedentes. Recurso parcialmente acolhido. I – Assentado na instância monocrática que a aplicação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dacláusula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penal, como pactuada no compromisso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decompra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e venda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deimóvel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, importaria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emônus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excessivo para o comprador, impondo-lhe, na prática, a perda da quase totalidade das prestações pagas, e atendendo-se ao espírito do  que  dispõe o art. 53 do Código de Defesa do Consumidor, cumpre ao Juiz adequar o percentual de perda das parcelas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pagasa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um montante razoável.II – A jurisprudência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daQuarta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Turma tem considerado razoável, em princípio, a retenção pelo promitente vendedor de 10%  do total das parcelas quitadas pelo comprador, levando-se em conta que o vendedor fica com 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propriedadedoimóvel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, podendo  renegociá-lo. Relator: Ministro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Salvio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de Figueiredo Teixeira” (Acórdão nº 85.936/SP (9600025029) – Recurso Especial – decisão: por unanimidade,  conhecer do recurso e dar-lhe provimento parcial – Data da decisão: 18.06.1998 –  4ª Turma – publicação: DJ de 21.09.1998, p.  166).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Superior Tribunal de Justiça. “Agravo regimental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emagravo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de instrumento. Direito Civil. Promessa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decompra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e venda.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Resilição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pleiteada pelo promissário comprador. Devolução das parcelas pagas. Percentual que deve refletir as peculiaridades do caso concreto. Agravo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improvido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Esta Corte Superior, à luz de precedentes firmados pela </w:t>
      </w: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>Segunda Seção,  entende que ‘o compromissário comprador  que deixa  de</w:t>
      </w:r>
      <w:r w:rsidR="00B975F9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cumprir o contrato em face da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insuportabilidade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da obrigação assumida tem o direito de promover ação a fim de receber a restituição das importâncias pagas’ (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EREsp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59.870/SP, Rel. Ministro Barros Monteiro, Segunda Seção,julgado em 10.04.2002, DJ 09.12.2002 p.281). 2.  Porém, o percentual a ser retido pelo vendedor, bem como o valor da indenização a ser paga como contraprestação pelo uso do imóvel, são fixados à luz das particularidades do caso concreto, razão pela qual se mostra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inviávela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via do recurso especial ao desiderato de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revero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quantum fixado nas instâncias inaugurais de jurisdição (Súmula 07). 3. Tendo em vista que o valor de retenção determinado pelo Tribunal 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quo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(10% das parcelas pagas) não se distancia do fixado em diversas ocasiões por esta Corte Superior,a decisão ora agravada deve ser mantida. 4. Agravo regimental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improvido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”  (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AgRg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no 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Ag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1.100.908/RO,  Rel. Ministro Luis Felipe Salomão, Quarta Turma, julgado em 18.08.2009, DJe02.09.2009).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>Tribunal de Justiça de São Paulo. “Compromisso de compra e venda – ação de rescisão contratual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c.c. restituição de valores  de danos   morais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rescisão –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indadimplência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do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comprador – contrato rescindido – retenção pela vendedora de 18% dos valores pagos – impossibilidade – percentual que se afasta do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usualmente aplicado em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casos  sem utilização do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imóvel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pelo comprador – retenção de10% que  bem indeniza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a vendedora pelos</w:t>
      </w:r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 xml:space="preserve">gastos que com administração de um negócio – devolução de todo valor – taxas de corretagem e SATI que  devem  também ser  devolvidas  – ônus  da sucumbência exclusivos 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daré</w:t>
      </w:r>
      <w:proofErr w:type="spellEnd"/>
      <w:r w:rsid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sentença reformada. Recurso provido” (Relator Neves Amorim – Comarca: São Paulo – Órgão julgador: 2ª Câmara de  Direito Privado  – Data do julgamento: 01.09.2015 – Data de registro:  02.09.2015).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Entretanto, entende a ré que mesmo nessa hipótese (perdimento de 10% do valor pago),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se faz a culpa, inexistente no caso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vertente como amplamente logrou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demonstrar.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RECONVENÇÃO (CPC, ART. 343) – CULPA DA AUTORA PELA RESOLUÇÃO – INDENIZAÇÃO E RETENÇÃO PORBENFEITORIAS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Como</w:t>
      </w:r>
      <w:r w:rsidR="009E40F6"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amplamente</w:t>
      </w:r>
      <w:r w:rsidR="009E40F6"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 xml:space="preserve">demonstrado nesta resposta, a culpa pela resolução do compromisso de compra e venda celebrado entre as partes é </w:t>
      </w:r>
      <w:r w:rsidRPr="009E40F6">
        <w:rPr>
          <w:rFonts w:ascii="Times New Roman" w:hAnsi="Times New Roman" w:cs="Times New Roman"/>
          <w:sz w:val="28"/>
          <w:szCs w:val="28"/>
        </w:rPr>
        <w:lastRenderedPageBreak/>
        <w:t>exclusivamente da autora, que fez constar</w:t>
      </w:r>
      <w:proofErr w:type="gramStart"/>
      <w:r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sz w:val="28"/>
          <w:szCs w:val="28"/>
        </w:rPr>
        <w:t>cláusulas abusivas, notadamente quanto à forma ilegal de contagem de juros</w:t>
      </w:r>
      <w:r w:rsidR="00B975F9" w:rsidRPr="009E40F6">
        <w:rPr>
          <w:rFonts w:ascii="Times New Roman" w:hAnsi="Times New Roman" w:cs="Times New Roman"/>
          <w:sz w:val="28"/>
          <w:szCs w:val="28"/>
        </w:rPr>
        <w:t xml:space="preserve"> </w:t>
      </w:r>
      <w:r w:rsidR="009E40F6">
        <w:rPr>
          <w:rFonts w:ascii="Times New Roman" w:hAnsi="Times New Roman" w:cs="Times New Roman"/>
          <w:sz w:val="28"/>
          <w:szCs w:val="28"/>
        </w:rPr>
        <w:t xml:space="preserve">(anatocismo) e, bem </w:t>
      </w:r>
      <w:r w:rsidRPr="009E40F6">
        <w:rPr>
          <w:rFonts w:ascii="Times New Roman" w:hAnsi="Times New Roman" w:cs="Times New Roman"/>
          <w:sz w:val="28"/>
          <w:szCs w:val="28"/>
        </w:rPr>
        <w:t>assim,</w:t>
      </w:r>
      <w:r w:rsidRPr="009E40F6">
        <w:rPr>
          <w:rFonts w:ascii="Times New Roman" w:hAnsi="Times New Roman" w:cs="Times New Roman"/>
          <w:sz w:val="28"/>
          <w:szCs w:val="28"/>
        </w:rPr>
        <w:tab/>
      </w:r>
      <w:r w:rsidR="00B975F9" w:rsidRPr="009E40F6">
        <w:rPr>
          <w:rFonts w:ascii="Times New Roman" w:hAnsi="Times New Roman" w:cs="Times New Roman"/>
          <w:sz w:val="28"/>
          <w:szCs w:val="28"/>
        </w:rPr>
        <w:t xml:space="preserve"> </w:t>
      </w:r>
      <w:r w:rsidR="009E40F6">
        <w:rPr>
          <w:rFonts w:ascii="Times New Roman" w:hAnsi="Times New Roman" w:cs="Times New Roman"/>
          <w:sz w:val="28"/>
          <w:szCs w:val="28"/>
        </w:rPr>
        <w:t>impossibilitou</w:t>
      </w:r>
      <w:r w:rsidR="009E40F6">
        <w:rPr>
          <w:rFonts w:ascii="Times New Roman" w:hAnsi="Times New Roman" w:cs="Times New Roman"/>
          <w:sz w:val="28"/>
          <w:szCs w:val="28"/>
        </w:rPr>
        <w:tab/>
        <w:t xml:space="preserve">o </w:t>
      </w:r>
      <w:r w:rsidRPr="009E40F6">
        <w:rPr>
          <w:rFonts w:ascii="Times New Roman" w:hAnsi="Times New Roman" w:cs="Times New Roman"/>
          <w:sz w:val="28"/>
          <w:szCs w:val="28"/>
        </w:rPr>
        <w:t>cumprimento</w:t>
      </w:r>
      <w:r w:rsidR="00B975F9" w:rsidRPr="009E40F6">
        <w:rPr>
          <w:rFonts w:ascii="Times New Roman" w:hAnsi="Times New Roman" w:cs="Times New Roman"/>
          <w:sz w:val="28"/>
          <w:szCs w:val="28"/>
        </w:rPr>
        <w:t xml:space="preserve"> </w:t>
      </w:r>
      <w:r w:rsidR="009E40F6">
        <w:rPr>
          <w:rFonts w:ascii="Times New Roman" w:hAnsi="Times New Roman" w:cs="Times New Roman"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sz w:val="28"/>
          <w:szCs w:val="28"/>
        </w:rPr>
        <w:t>da obrigação.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Demais disso, nos termos do art. 1.219 do Código Civil c/c art. 51, XVI, do CDC, a ré faz jus ao direito de retenção pelas benfeitorias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úteis e necessárias que introduziu no imóvel, conforme descrição e caracterização em documento anexo à presente (documento3).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Nesse sentido, é de se dizer que o § 4º da cláusula 17 do contrato (documento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da inicial) é imoral, afrontando os princípios da boa-fé e vedação do enriquecimento sem causa. Além de imoral, é ilegal a teor do que dispõem os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 6º, IV, V; 51, I, IV, XV do Código de Defesa do Consumidor.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Ora, a ré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introduziu,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de boa-fé, acessões e benfeitorias.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O art. 1.219 do Código Civil garante o direito de retenção pelas benfeitorias úteis e necessárias, assegurando, igualmente, o direito de indenização ao possuidor de boa-fé.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Assim, de acordo com o art. 51, I, da Lei 8.078/1990 (CDC), que inquina de nulidade cláusulas que impliquem a renúncia ou disposição de direitos, é nulo o § 4º da cláusula 17 do contrato, que determina o perdimento total das benfeitorias.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Portanto, a ré possui cristalino direito de retenção do imóvel pelas benfeitorias que introduziu, devidamente descritas e caracterizadas no documento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Nesse sentido, exemplar decisão: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t xml:space="preserve">Tribunal de Justiça de São Paulo. “Compromisso de venda e compra. Rescisão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docontrato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, reintegração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deposse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condenaçãoempagamento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de alugueres. Necessária devolução dos valores pagos pela compradora e valores referentes a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benfeitorias.  Sentença  de procedência da ação e acolhimento parcial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dareconvenção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.Mais adequado declarar a sucumbência recíproca. Recurso provido em parte para essa finalidade” (Apelação 0008387-56.2011.8.26.0248 – Relator: Teixeira Leite – </w:t>
      </w: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>Comarca: Indaiatuba – Órgão julgador: 4ª Câmara de Direito Privado – Data do julgamento: 26.03.2015 – Data de registro: 28.03.2015).</w:t>
      </w:r>
    </w:p>
    <w:p w:rsidR="009E40F6" w:rsidRPr="009E40F6" w:rsidRDefault="009E40F6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9E40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E40F6" w:rsidRPr="009E40F6">
        <w:rPr>
          <w:rFonts w:ascii="Times New Roman" w:hAnsi="Times New Roman" w:cs="Times New Roman"/>
          <w:sz w:val="28"/>
          <w:szCs w:val="28"/>
        </w:rPr>
        <w:t>PEDIDO  DE   TUTELA  PROVISÓRIA  DE   URGÊNCIA  DE  NATUREZA ANTECIPADA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Vislumbra-se que Vossa Excelência não deferiu a tutela provisória requerida na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, postergando a decisão para momento posterior à audiência de conciliação e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eventualdefesa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Por todo o exposto, resta inviável a tutela antecipatória pretendida pela autora. A uma, porque a ré possui inequívoco direito de retenção pelas benfeitorias que introduziu no imóvel e, a duas, porque não estão presentes os requisitos dos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. 294 e seguintes e 300 do Código de Processo Civil, sequer demonstrados na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Tornou-se praxe o requerimento de tutela antecipada nas ações de conhecimento, mesmo sem fundamento. Exatamente assim procede a autora – tudo pede para algo conseguir – requerendo uma tutela de urgência sem demonstrar os requisitos da medida de exceção.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Ora, o art. 300 do Código de Processo Civil requer indelevelmente o perigo na demora da prestação da tutela jurisdicional (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periculum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in mora).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Com efeito, este requisito não está presente, mormente que o bem da vida é o imóvel, que não desaparecerá até o deslinde da ação.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Demais disso, a teor do pedido formulado pela autora de autorização da venda do imóvel, há risco de comprometimento do direito de terceiros e da segurança dos negócios jurídicos, o que torna impossível a tutela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antecipada.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O art. 300, § 3º, do Código de Processo Civil impede, de forma absoluta, o resultado consistente em alienação de domínio, efeito direto da tutela antecipatória desejada, inferência que se extrai da irreversibilidade da medida, se adotada.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Nesse sentido: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>Tribunal de Justiça de São Paulo. “Tutela antecipada. Indeferimento. Rescisão contratual. Compromisso de compra e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venda  entre  particulares.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Reintegraçãodeposse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Inviabilidade. Necessidade de prévia intervenção judicial para a rescisão do contrato. Provimento  negado” (Agravo de Instrumento 0236299-75.2012.8.26.0000 – Relator: Caetano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Lagrasta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>– Comarca: Ribeirão Preto – Órgão julgador:  8ª Câmara de  Direito Privado – Data do  julgamento:  31.07.2013  – Data  de</w:t>
      </w:r>
      <w:r w:rsidR="00B975F9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registro: 06.08.2013).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PEDIDO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Pelo exposto, requer a autora digne-se Vossa Excelência de: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0F6">
        <w:rPr>
          <w:rFonts w:ascii="Times New Roman" w:hAnsi="Times New Roman" w:cs="Times New Roman"/>
          <w:b/>
          <w:sz w:val="28"/>
          <w:szCs w:val="28"/>
        </w:rPr>
        <w:tab/>
      </w:r>
      <w:r w:rsidRPr="009E40F6">
        <w:rPr>
          <w:rFonts w:ascii="Times New Roman" w:hAnsi="Times New Roman" w:cs="Times New Roman"/>
          <w:b/>
          <w:sz w:val="28"/>
          <w:szCs w:val="28"/>
        </w:rPr>
        <w:tab/>
      </w:r>
      <w:r w:rsidRPr="009E40F6">
        <w:rPr>
          <w:rFonts w:ascii="Times New Roman" w:hAnsi="Times New Roman" w:cs="Times New Roman"/>
          <w:b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b/>
          <w:sz w:val="28"/>
          <w:szCs w:val="28"/>
        </w:rPr>
        <w:t>Quanto às</w:t>
      </w:r>
      <w:r w:rsidRPr="009E4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b/>
          <w:sz w:val="28"/>
          <w:szCs w:val="28"/>
        </w:rPr>
        <w:t>preliminares: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Em relação ao valor da causa: o valor atribuído pela autora deve ser corrigido por Vossa Excelência nos termos do art. 292, § 3º do Código de Processo Civil, determinando o complemento das custas no prazo legal sob pena de indeferimento da inicial (CPC, art. 321, parágrafo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único).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Incompetência (CPC, art. 64): tratando-se de relação de consumo, nos termos do art. 101, I do Código de Defesa do Consumidor, requer o réu seja reconhecida a incompetência do juízo e determinada a remessa do processo ao foro (...), inclusive com a suspensão da audiência de conciliação já designada (CPC, art.340).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Ilegitimidade de parte: Nos termos do art. 338 do Código de Processo Civil, em razão da cessão noticiada à fls. (...), a autora deve ser intimada a se manifestar e, bem assim, alterar a petição inicial, retificando-a, para substituir o ora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54" w:rsidRPr="009E40F6">
        <w:rPr>
          <w:rFonts w:ascii="Times New Roman" w:hAnsi="Times New Roman" w:cs="Times New Roman"/>
          <w:sz w:val="28"/>
          <w:szCs w:val="28"/>
        </w:rPr>
        <w:t>contestante.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0F6">
        <w:rPr>
          <w:rFonts w:ascii="Times New Roman" w:hAnsi="Times New Roman" w:cs="Times New Roman"/>
          <w:b/>
          <w:sz w:val="28"/>
          <w:szCs w:val="28"/>
        </w:rPr>
        <w:tab/>
      </w:r>
      <w:r w:rsidRPr="009E40F6">
        <w:rPr>
          <w:rFonts w:ascii="Times New Roman" w:hAnsi="Times New Roman" w:cs="Times New Roman"/>
          <w:b/>
          <w:sz w:val="28"/>
          <w:szCs w:val="28"/>
        </w:rPr>
        <w:tab/>
      </w:r>
      <w:r w:rsidRPr="009E40F6">
        <w:rPr>
          <w:rFonts w:ascii="Times New Roman" w:hAnsi="Times New Roman" w:cs="Times New Roman"/>
          <w:b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b/>
          <w:sz w:val="28"/>
          <w:szCs w:val="28"/>
        </w:rPr>
        <w:t>Quanto à reconvenção (CPC, art.343):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Em razão da reconvenção, cujas razões foram lançadas no item IX, acima, notadamente em razão da cobrança de juros ilegais, requer o réu o julgamento de sua procedência, declarando a resolução do contrato por culpa da autora reconvinda com a devolução total das parcelas pagas atualizadas monetariamente e com juros desde cada desembolso: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Superior Tribunal de Justiça. “Agravo regimental. Recurso Especial da parte adversa </w:t>
      </w:r>
      <w:proofErr w:type="gramStart"/>
      <w:r w:rsidRPr="009E40F6">
        <w:rPr>
          <w:rFonts w:ascii="Times New Roman" w:hAnsi="Times New Roman" w:cs="Times New Roman"/>
          <w:i/>
          <w:sz w:val="28"/>
          <w:szCs w:val="28"/>
        </w:rPr>
        <w:t>provido.</w:t>
      </w:r>
      <w:proofErr w:type="spellStart"/>
      <w:proofErr w:type="gramEnd"/>
      <w:r w:rsidRPr="009E40F6">
        <w:rPr>
          <w:rFonts w:ascii="Times New Roman" w:hAnsi="Times New Roman" w:cs="Times New Roman"/>
          <w:i/>
          <w:sz w:val="28"/>
          <w:szCs w:val="28"/>
        </w:rPr>
        <w:t>Resilição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de contrato de compra e venda de imóvel.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Culpadaconstrutora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Devoluçãodeparcelas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pagas pelo adquirente.Juros demora. Termo a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quo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. Desembolso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decada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prestação. Recurso a que se nega provimento. 1. De acordo com a jurisprudência desta Corte, nos casos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derescisão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decontrato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 de  compra e venda de imóvel, por culpa da construtora, a restituição das parcelas pagas pelo adquirente deve ser realizada, com  incidência  de juros  de mora desde o efetivo desembolso de cada prestação. 2.  Agravo</w:t>
      </w:r>
      <w:r w:rsidR="00B975F9" w:rsidRPr="009E4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F6">
        <w:rPr>
          <w:rFonts w:ascii="Times New Roman" w:hAnsi="Times New Roman" w:cs="Times New Roman"/>
          <w:i/>
          <w:sz w:val="28"/>
          <w:szCs w:val="28"/>
        </w:rPr>
        <w:t>regimental não provido” (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AgRg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no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AREsp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345.459/MG  –  Rel.  Ministro  Luis Felipe Salomão – Quarta Turma – julgado em 19.09.2013 – </w:t>
      </w:r>
      <w:proofErr w:type="spellStart"/>
      <w:r w:rsidRPr="009E40F6">
        <w:rPr>
          <w:rFonts w:ascii="Times New Roman" w:hAnsi="Times New Roman" w:cs="Times New Roman"/>
          <w:i/>
          <w:sz w:val="28"/>
          <w:szCs w:val="28"/>
        </w:rPr>
        <w:t>DJe</w:t>
      </w:r>
      <w:proofErr w:type="spellEnd"/>
      <w:r w:rsidRPr="009E40F6">
        <w:rPr>
          <w:rFonts w:ascii="Times New Roman" w:hAnsi="Times New Roman" w:cs="Times New Roman"/>
          <w:i/>
          <w:sz w:val="28"/>
          <w:szCs w:val="28"/>
        </w:rPr>
        <w:t xml:space="preserve"> 24.09.2013).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Requer-se, igualmente, em qualquer caso, a retenção pelas benfeitorias descritas e caracterizadas nesta resposta (documento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), nos termos do art. 1.219 do Código Civil, até o seu pagamento, cuja condenação da autora reconvinda se requer e que deverá ser somado aos valores a serem restituídos à ré em virtude da resolução contratual.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Dá-se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presente reconvenção, nos termos do art. 292 do Código  de Processo Civil, o valor de R$(...).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Requer-se,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, a condenação do autor reconvindo nas  custas e honorários (CPC, art. 85, §1º).</w:t>
      </w:r>
    </w:p>
    <w:p w:rsidR="00062854" w:rsidRPr="009E40F6" w:rsidRDefault="009E40F6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Se assim não entender Vossa Excelência, notadamente em razão da reconvenção e da ilegitimidade que possui o condão de determinar a extinção do processo sem resolução do mérito, o que se requer caso a autora não substitua o ora contestante (CPC, </w:t>
      </w:r>
      <w:proofErr w:type="spellStart"/>
      <w:r w:rsidR="00062854" w:rsidRPr="009E40F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062854" w:rsidRPr="009E40F6">
        <w:rPr>
          <w:rFonts w:ascii="Times New Roman" w:hAnsi="Times New Roman" w:cs="Times New Roman"/>
          <w:sz w:val="28"/>
          <w:szCs w:val="28"/>
        </w:rPr>
        <w:t>. 338 e 485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, VI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>), por cautela, passa o réu a requerer, no mérito:</w:t>
      </w:r>
    </w:p>
    <w:p w:rsidR="00C0505B" w:rsidRDefault="00062854" w:rsidP="009E40F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05B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afastada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tutela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provisória de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antecipada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pretendida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>;</w:t>
      </w:r>
    </w:p>
    <w:p w:rsidR="00C0505B" w:rsidRDefault="00062854" w:rsidP="009E40F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05B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julgado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totalmente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improcedente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o pedido de resolução POR CULPA DA RÉ, condenando a autora no pagamento de custas e honorários advocatícios, assim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dasucumbência;</w:t>
      </w:r>
      <w:proofErr w:type="spellEnd"/>
    </w:p>
    <w:p w:rsidR="00C0505B" w:rsidRDefault="00062854" w:rsidP="009E40F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05B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acolha as preliminares, notadamente de ilegitimidade ou não julgue a presente ação totalmente improcedente </w:t>
      </w:r>
      <w:r w:rsidRPr="00C0505B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itemd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sucessivamenteesubsidiariamenteaopedidoreconvencional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acima formulado, requer a ré seja a ação julgada apenas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parcialmente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determinando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VossaExcelência:</w:t>
      </w:r>
      <w:proofErr w:type="spellEnd"/>
    </w:p>
    <w:p w:rsidR="00B975F9" w:rsidRPr="00C0505B" w:rsidRDefault="00062854" w:rsidP="009E40F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505B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retorno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ao status </w:t>
      </w:r>
      <w:proofErr w:type="spellStart"/>
      <w:r w:rsidRPr="00C0505B">
        <w:rPr>
          <w:rFonts w:ascii="Times New Roman" w:hAnsi="Times New Roman" w:cs="Times New Roman"/>
          <w:sz w:val="28"/>
          <w:szCs w:val="28"/>
        </w:rPr>
        <w:t>quo</w:t>
      </w:r>
      <w:proofErr w:type="spellEnd"/>
      <w:r w:rsidRPr="00C0505B">
        <w:rPr>
          <w:rFonts w:ascii="Times New Roman" w:hAnsi="Times New Roman" w:cs="Times New Roman"/>
          <w:sz w:val="28"/>
          <w:szCs w:val="28"/>
        </w:rPr>
        <w:t xml:space="preserve"> ante pela restituição das quantias pagas pela ré (documento 2) ante a retomada do imóvel pela autora, devidamente acrescidas de juros legais, correção monetária e demais ônus de sucumbência, de uma vez só nos termos da Súmula 2 do Tribunal de Justiça de São Paulo e independentemente de reconvenção nos termos da Súmula 3 do mesmo Tribunal:</w:t>
      </w:r>
    </w:p>
    <w:p w:rsidR="00062854" w:rsidRPr="00C0505B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05B">
        <w:rPr>
          <w:rFonts w:ascii="Times New Roman" w:hAnsi="Times New Roman" w:cs="Times New Roman"/>
          <w:i/>
          <w:sz w:val="28"/>
          <w:szCs w:val="28"/>
        </w:rPr>
        <w:t xml:space="preserve">“Súmula </w:t>
      </w:r>
      <w:proofErr w:type="gramStart"/>
      <w:r w:rsidRPr="00C0505B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0505B">
        <w:rPr>
          <w:rFonts w:ascii="Times New Roman" w:hAnsi="Times New Roman" w:cs="Times New Roman"/>
          <w:i/>
          <w:sz w:val="28"/>
          <w:szCs w:val="28"/>
        </w:rPr>
        <w:t xml:space="preserve">. A devolução das </w:t>
      </w:r>
      <w:proofErr w:type="spellStart"/>
      <w:r w:rsidRPr="00C0505B">
        <w:rPr>
          <w:rFonts w:ascii="Times New Roman" w:hAnsi="Times New Roman" w:cs="Times New Roman"/>
          <w:i/>
          <w:sz w:val="28"/>
          <w:szCs w:val="28"/>
        </w:rPr>
        <w:t>quantiaspagasemcontrato</w:t>
      </w:r>
      <w:proofErr w:type="spellEnd"/>
      <w:r w:rsidRPr="00C0505B">
        <w:rPr>
          <w:rFonts w:ascii="Times New Roman" w:hAnsi="Times New Roman" w:cs="Times New Roman"/>
          <w:i/>
          <w:sz w:val="28"/>
          <w:szCs w:val="28"/>
        </w:rPr>
        <w:t xml:space="preserve">  de compromisso de compra e venda de imóvel deve ser  feita de  uma  </w:t>
      </w:r>
      <w:proofErr w:type="spellStart"/>
      <w:r w:rsidRPr="00C0505B">
        <w:rPr>
          <w:rFonts w:ascii="Times New Roman" w:hAnsi="Times New Roman" w:cs="Times New Roman"/>
          <w:i/>
          <w:sz w:val="28"/>
          <w:szCs w:val="28"/>
        </w:rPr>
        <w:t>sóvez</w:t>
      </w:r>
      <w:proofErr w:type="spellEnd"/>
      <w:r w:rsidRPr="00C0505B">
        <w:rPr>
          <w:rFonts w:ascii="Times New Roman" w:hAnsi="Times New Roman" w:cs="Times New Roman"/>
          <w:i/>
          <w:sz w:val="28"/>
          <w:szCs w:val="28"/>
        </w:rPr>
        <w:t xml:space="preserve">, não se sujeitando à forma </w:t>
      </w:r>
      <w:proofErr w:type="spellStart"/>
      <w:r w:rsidRPr="00C0505B">
        <w:rPr>
          <w:rFonts w:ascii="Times New Roman" w:hAnsi="Times New Roman" w:cs="Times New Roman"/>
          <w:i/>
          <w:sz w:val="28"/>
          <w:szCs w:val="28"/>
        </w:rPr>
        <w:t>deparcelamento</w:t>
      </w:r>
      <w:proofErr w:type="spellEnd"/>
      <w:r w:rsidRPr="00C0505B">
        <w:rPr>
          <w:rFonts w:ascii="Times New Roman" w:hAnsi="Times New Roman" w:cs="Times New Roman"/>
          <w:i/>
          <w:sz w:val="28"/>
          <w:szCs w:val="28"/>
        </w:rPr>
        <w:t xml:space="preserve"> prevista para a aquisição.”</w:t>
      </w:r>
    </w:p>
    <w:p w:rsidR="00062854" w:rsidRPr="00C0505B" w:rsidRDefault="00062854" w:rsidP="009E40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05B">
        <w:rPr>
          <w:rFonts w:ascii="Times New Roman" w:hAnsi="Times New Roman" w:cs="Times New Roman"/>
          <w:i/>
          <w:sz w:val="28"/>
          <w:szCs w:val="28"/>
        </w:rPr>
        <w:t xml:space="preserve">“Súmula </w:t>
      </w:r>
      <w:proofErr w:type="gramStart"/>
      <w:r w:rsidRPr="00C0505B">
        <w:rPr>
          <w:rFonts w:ascii="Times New Roman" w:hAnsi="Times New Roman" w:cs="Times New Roman"/>
          <w:i/>
          <w:sz w:val="28"/>
          <w:szCs w:val="28"/>
        </w:rPr>
        <w:t>3</w:t>
      </w:r>
      <w:proofErr w:type="gramEnd"/>
      <w:r w:rsidRPr="00C0505B">
        <w:rPr>
          <w:rFonts w:ascii="Times New Roman" w:hAnsi="Times New Roman" w:cs="Times New Roman"/>
          <w:i/>
          <w:sz w:val="28"/>
          <w:szCs w:val="28"/>
        </w:rPr>
        <w:t>. Reconhecido que o compromissário comprador tem direito à devolução das parcelas pagas por conta do preço, as partes deverão ser repostas  ao estado anterior,  independentemente de reconvenção.”</w:t>
      </w:r>
    </w:p>
    <w:p w:rsidR="00C0505B" w:rsidRDefault="00C0505B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54" w:rsidRPr="009E40F6" w:rsidRDefault="00C0505B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 w:rsidRPr="009E40F6">
        <w:rPr>
          <w:rFonts w:ascii="Times New Roman" w:hAnsi="Times New Roman" w:cs="Times New Roman"/>
          <w:sz w:val="28"/>
          <w:szCs w:val="28"/>
        </w:rPr>
        <w:t>PROVAS</w:t>
      </w:r>
    </w:p>
    <w:p w:rsidR="00062854" w:rsidRPr="009E40F6" w:rsidRDefault="00C0505B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>Requer provar o alegado por todos os meios em Direito admitidos, especialmente pela produção de prova documental, testemunhal, pericial e inspeção judicial, especialmente depoimento pessoal do representante legal da autora, pena de confissão, se não comparecer ou, comparecendo, se negar a depor (CPC, art. 343, §§ 1º e 2º).</w:t>
      </w:r>
    </w:p>
    <w:p w:rsidR="00062854" w:rsidRDefault="00C0505B" w:rsidP="009E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2854" w:rsidRPr="009E40F6">
        <w:rPr>
          <w:rFonts w:ascii="Times New Roman" w:hAnsi="Times New Roman" w:cs="Times New Roman"/>
          <w:sz w:val="28"/>
          <w:szCs w:val="28"/>
        </w:rPr>
        <w:t xml:space="preserve">Cumpridas as necessárias formalidades legais, deve </w:t>
      </w:r>
      <w:proofErr w:type="gramStart"/>
      <w:r w:rsidR="00062854" w:rsidRPr="009E40F6">
        <w:rPr>
          <w:rFonts w:ascii="Times New Roman" w:hAnsi="Times New Roman" w:cs="Times New Roman"/>
          <w:sz w:val="28"/>
          <w:szCs w:val="28"/>
        </w:rPr>
        <w:t>a presente</w:t>
      </w:r>
      <w:proofErr w:type="gramEnd"/>
      <w:r w:rsidR="00062854" w:rsidRPr="009E40F6">
        <w:rPr>
          <w:rFonts w:ascii="Times New Roman" w:hAnsi="Times New Roman" w:cs="Times New Roman"/>
          <w:sz w:val="28"/>
          <w:szCs w:val="28"/>
        </w:rPr>
        <w:t xml:space="preserve"> ser recebida e juntada aos autos.</w:t>
      </w:r>
    </w:p>
    <w:p w:rsidR="00C0505B" w:rsidRPr="009E40F6" w:rsidRDefault="00C0505B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05B" w:rsidRDefault="00C0505B" w:rsidP="00C0505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0505B" w:rsidRDefault="00C0505B" w:rsidP="00C050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05B" w:rsidRDefault="00C0505B" w:rsidP="00C0505B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C0505B" w:rsidRDefault="00C0505B" w:rsidP="00C050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05B" w:rsidRDefault="00C0505B" w:rsidP="00C050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05B" w:rsidRDefault="00C0505B" w:rsidP="00C0505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C0505B" w:rsidRDefault="00C0505B" w:rsidP="00C0505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062854" w:rsidRPr="009E40F6" w:rsidRDefault="00062854" w:rsidP="009E40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2854" w:rsidRPr="009E40F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FE" w:rsidRDefault="00D917FE" w:rsidP="00622F76">
      <w:pPr>
        <w:spacing w:after="0" w:line="240" w:lineRule="auto"/>
      </w:pPr>
      <w:r>
        <w:separator/>
      </w:r>
    </w:p>
  </w:endnote>
  <w:endnote w:type="continuationSeparator" w:id="1">
    <w:p w:rsidR="00D917FE" w:rsidRDefault="00D917FE" w:rsidP="0062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C0505B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FE" w:rsidRDefault="00D917FE" w:rsidP="00622F76">
      <w:pPr>
        <w:spacing w:after="0" w:line="240" w:lineRule="auto"/>
      </w:pPr>
      <w:r>
        <w:separator/>
      </w:r>
    </w:p>
  </w:footnote>
  <w:footnote w:type="continuationSeparator" w:id="1">
    <w:p w:rsidR="00D917FE" w:rsidRDefault="00D917FE" w:rsidP="0062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2584"/>
    <w:multiLevelType w:val="hybridMultilevel"/>
    <w:tmpl w:val="E3D29180"/>
    <w:lvl w:ilvl="0" w:tplc="5B4C092C">
      <w:start w:val="1"/>
      <w:numFmt w:val="lowerLetter"/>
      <w:lvlText w:val="%1)"/>
      <w:lvlJc w:val="left"/>
      <w:pPr>
        <w:ind w:left="378" w:hanging="316"/>
        <w:jc w:val="left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4358F986">
      <w:start w:val="1"/>
      <w:numFmt w:val="bullet"/>
      <w:lvlText w:val="•"/>
      <w:lvlJc w:val="left"/>
      <w:pPr>
        <w:ind w:left="1210" w:hanging="316"/>
      </w:pPr>
      <w:rPr>
        <w:rFonts w:hint="default"/>
      </w:rPr>
    </w:lvl>
    <w:lvl w:ilvl="2" w:tplc="0EC88E52">
      <w:start w:val="1"/>
      <w:numFmt w:val="bullet"/>
      <w:lvlText w:val="•"/>
      <w:lvlJc w:val="left"/>
      <w:pPr>
        <w:ind w:left="2041" w:hanging="316"/>
      </w:pPr>
      <w:rPr>
        <w:rFonts w:hint="default"/>
      </w:rPr>
    </w:lvl>
    <w:lvl w:ilvl="3" w:tplc="4B1AA2F4">
      <w:start w:val="1"/>
      <w:numFmt w:val="bullet"/>
      <w:lvlText w:val="•"/>
      <w:lvlJc w:val="left"/>
      <w:pPr>
        <w:ind w:left="2871" w:hanging="316"/>
      </w:pPr>
      <w:rPr>
        <w:rFonts w:hint="default"/>
      </w:rPr>
    </w:lvl>
    <w:lvl w:ilvl="4" w:tplc="08AE7E08">
      <w:start w:val="1"/>
      <w:numFmt w:val="bullet"/>
      <w:lvlText w:val="•"/>
      <w:lvlJc w:val="left"/>
      <w:pPr>
        <w:ind w:left="3702" w:hanging="316"/>
      </w:pPr>
      <w:rPr>
        <w:rFonts w:hint="default"/>
      </w:rPr>
    </w:lvl>
    <w:lvl w:ilvl="5" w:tplc="84F2D9D8">
      <w:start w:val="1"/>
      <w:numFmt w:val="bullet"/>
      <w:lvlText w:val="•"/>
      <w:lvlJc w:val="left"/>
      <w:pPr>
        <w:ind w:left="4532" w:hanging="316"/>
      </w:pPr>
      <w:rPr>
        <w:rFonts w:hint="default"/>
      </w:rPr>
    </w:lvl>
    <w:lvl w:ilvl="6" w:tplc="ABD44EAA">
      <w:start w:val="1"/>
      <w:numFmt w:val="bullet"/>
      <w:lvlText w:val="•"/>
      <w:lvlJc w:val="left"/>
      <w:pPr>
        <w:ind w:left="5363" w:hanging="316"/>
      </w:pPr>
      <w:rPr>
        <w:rFonts w:hint="default"/>
      </w:rPr>
    </w:lvl>
    <w:lvl w:ilvl="7" w:tplc="36EA2F20">
      <w:start w:val="1"/>
      <w:numFmt w:val="bullet"/>
      <w:lvlText w:val="•"/>
      <w:lvlJc w:val="left"/>
      <w:pPr>
        <w:ind w:left="6193" w:hanging="316"/>
      </w:pPr>
      <w:rPr>
        <w:rFonts w:hint="default"/>
      </w:rPr>
    </w:lvl>
    <w:lvl w:ilvl="8" w:tplc="3EC8F4FA">
      <w:start w:val="1"/>
      <w:numFmt w:val="bullet"/>
      <w:lvlText w:val="•"/>
      <w:lvlJc w:val="left"/>
      <w:pPr>
        <w:ind w:left="7024" w:hanging="316"/>
      </w:pPr>
      <w:rPr>
        <w:rFonts w:hint="default"/>
      </w:rPr>
    </w:lvl>
  </w:abstractNum>
  <w:abstractNum w:abstractNumId="1">
    <w:nsid w:val="2CD11490"/>
    <w:multiLevelType w:val="hybridMultilevel"/>
    <w:tmpl w:val="1186B0E2"/>
    <w:lvl w:ilvl="0" w:tplc="39FA9036">
      <w:start w:val="4"/>
      <w:numFmt w:val="upperRoman"/>
      <w:lvlText w:val="%1"/>
      <w:lvlJc w:val="left"/>
      <w:pPr>
        <w:ind w:left="108" w:hanging="346"/>
        <w:jc w:val="left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</w:rPr>
    </w:lvl>
    <w:lvl w:ilvl="1" w:tplc="D12C15D8">
      <w:start w:val="1"/>
      <w:numFmt w:val="bullet"/>
      <w:lvlText w:val="•"/>
      <w:lvlJc w:val="left"/>
      <w:pPr>
        <w:ind w:left="958" w:hanging="346"/>
      </w:pPr>
      <w:rPr>
        <w:rFonts w:hint="default"/>
      </w:rPr>
    </w:lvl>
    <w:lvl w:ilvl="2" w:tplc="856E4A50">
      <w:start w:val="1"/>
      <w:numFmt w:val="bullet"/>
      <w:lvlText w:val="•"/>
      <w:lvlJc w:val="left"/>
      <w:pPr>
        <w:ind w:left="1817" w:hanging="346"/>
      </w:pPr>
      <w:rPr>
        <w:rFonts w:hint="default"/>
      </w:rPr>
    </w:lvl>
    <w:lvl w:ilvl="3" w:tplc="3C5CEA80">
      <w:start w:val="1"/>
      <w:numFmt w:val="bullet"/>
      <w:lvlText w:val="•"/>
      <w:lvlJc w:val="left"/>
      <w:pPr>
        <w:ind w:left="2675" w:hanging="346"/>
      </w:pPr>
      <w:rPr>
        <w:rFonts w:hint="default"/>
      </w:rPr>
    </w:lvl>
    <w:lvl w:ilvl="4" w:tplc="B1349036">
      <w:start w:val="1"/>
      <w:numFmt w:val="bullet"/>
      <w:lvlText w:val="•"/>
      <w:lvlJc w:val="left"/>
      <w:pPr>
        <w:ind w:left="3534" w:hanging="346"/>
      </w:pPr>
      <w:rPr>
        <w:rFonts w:hint="default"/>
      </w:rPr>
    </w:lvl>
    <w:lvl w:ilvl="5" w:tplc="D4EA8B28">
      <w:start w:val="1"/>
      <w:numFmt w:val="bullet"/>
      <w:lvlText w:val="•"/>
      <w:lvlJc w:val="left"/>
      <w:pPr>
        <w:ind w:left="4392" w:hanging="346"/>
      </w:pPr>
      <w:rPr>
        <w:rFonts w:hint="default"/>
      </w:rPr>
    </w:lvl>
    <w:lvl w:ilvl="6" w:tplc="E4BCAD32">
      <w:start w:val="1"/>
      <w:numFmt w:val="bullet"/>
      <w:lvlText w:val="•"/>
      <w:lvlJc w:val="left"/>
      <w:pPr>
        <w:ind w:left="5251" w:hanging="346"/>
      </w:pPr>
      <w:rPr>
        <w:rFonts w:hint="default"/>
      </w:rPr>
    </w:lvl>
    <w:lvl w:ilvl="7" w:tplc="FB56A0BC">
      <w:start w:val="1"/>
      <w:numFmt w:val="bullet"/>
      <w:lvlText w:val="•"/>
      <w:lvlJc w:val="left"/>
      <w:pPr>
        <w:ind w:left="6109" w:hanging="346"/>
      </w:pPr>
      <w:rPr>
        <w:rFonts w:hint="default"/>
      </w:rPr>
    </w:lvl>
    <w:lvl w:ilvl="8" w:tplc="D4F8D4F4">
      <w:start w:val="1"/>
      <w:numFmt w:val="bullet"/>
      <w:lvlText w:val="•"/>
      <w:lvlJc w:val="left"/>
      <w:pPr>
        <w:ind w:left="6968" w:hanging="346"/>
      </w:pPr>
      <w:rPr>
        <w:rFonts w:hint="default"/>
      </w:rPr>
    </w:lvl>
  </w:abstractNum>
  <w:abstractNum w:abstractNumId="2">
    <w:nsid w:val="36B0437E"/>
    <w:multiLevelType w:val="hybridMultilevel"/>
    <w:tmpl w:val="E38AAE82"/>
    <w:lvl w:ilvl="0" w:tplc="2196FDAA">
      <w:start w:val="1"/>
      <w:numFmt w:val="bullet"/>
      <w:lvlText w:val="–"/>
      <w:lvlJc w:val="left"/>
      <w:pPr>
        <w:ind w:left="363" w:hanging="301"/>
      </w:pPr>
      <w:rPr>
        <w:rFonts w:ascii="Arial" w:eastAsia="Arial" w:hAnsi="Arial" w:cs="Arial" w:hint="default"/>
        <w:i/>
        <w:w w:val="102"/>
        <w:sz w:val="25"/>
        <w:szCs w:val="25"/>
      </w:rPr>
    </w:lvl>
    <w:lvl w:ilvl="1" w:tplc="EA84808A">
      <w:start w:val="1"/>
      <w:numFmt w:val="bullet"/>
      <w:lvlText w:val="•"/>
      <w:lvlJc w:val="left"/>
      <w:pPr>
        <w:ind w:left="1190" w:hanging="301"/>
      </w:pPr>
      <w:rPr>
        <w:rFonts w:hint="default"/>
      </w:rPr>
    </w:lvl>
    <w:lvl w:ilvl="2" w:tplc="CD4EE806">
      <w:start w:val="1"/>
      <w:numFmt w:val="bullet"/>
      <w:lvlText w:val="•"/>
      <w:lvlJc w:val="left"/>
      <w:pPr>
        <w:ind w:left="2021" w:hanging="301"/>
      </w:pPr>
      <w:rPr>
        <w:rFonts w:hint="default"/>
      </w:rPr>
    </w:lvl>
    <w:lvl w:ilvl="3" w:tplc="CE16A73A">
      <w:start w:val="1"/>
      <w:numFmt w:val="bullet"/>
      <w:lvlText w:val="•"/>
      <w:lvlJc w:val="left"/>
      <w:pPr>
        <w:ind w:left="2851" w:hanging="301"/>
      </w:pPr>
      <w:rPr>
        <w:rFonts w:hint="default"/>
      </w:rPr>
    </w:lvl>
    <w:lvl w:ilvl="4" w:tplc="EC921DC2">
      <w:start w:val="1"/>
      <w:numFmt w:val="bullet"/>
      <w:lvlText w:val="•"/>
      <w:lvlJc w:val="left"/>
      <w:pPr>
        <w:ind w:left="3682" w:hanging="301"/>
      </w:pPr>
      <w:rPr>
        <w:rFonts w:hint="default"/>
      </w:rPr>
    </w:lvl>
    <w:lvl w:ilvl="5" w:tplc="23781218">
      <w:start w:val="1"/>
      <w:numFmt w:val="bullet"/>
      <w:lvlText w:val="•"/>
      <w:lvlJc w:val="left"/>
      <w:pPr>
        <w:ind w:left="4512" w:hanging="301"/>
      </w:pPr>
      <w:rPr>
        <w:rFonts w:hint="default"/>
      </w:rPr>
    </w:lvl>
    <w:lvl w:ilvl="6" w:tplc="A942FC0C">
      <w:start w:val="1"/>
      <w:numFmt w:val="bullet"/>
      <w:lvlText w:val="•"/>
      <w:lvlJc w:val="left"/>
      <w:pPr>
        <w:ind w:left="5343" w:hanging="301"/>
      </w:pPr>
      <w:rPr>
        <w:rFonts w:hint="default"/>
      </w:rPr>
    </w:lvl>
    <w:lvl w:ilvl="7" w:tplc="2458BAE4">
      <w:start w:val="1"/>
      <w:numFmt w:val="bullet"/>
      <w:lvlText w:val="•"/>
      <w:lvlJc w:val="left"/>
      <w:pPr>
        <w:ind w:left="6173" w:hanging="301"/>
      </w:pPr>
      <w:rPr>
        <w:rFonts w:hint="default"/>
      </w:rPr>
    </w:lvl>
    <w:lvl w:ilvl="8" w:tplc="742C5B5C">
      <w:start w:val="1"/>
      <w:numFmt w:val="bullet"/>
      <w:lvlText w:val="•"/>
      <w:lvlJc w:val="left"/>
      <w:pPr>
        <w:ind w:left="7004" w:hanging="301"/>
      </w:pPr>
      <w:rPr>
        <w:rFonts w:hint="default"/>
      </w:rPr>
    </w:lvl>
  </w:abstractNum>
  <w:abstractNum w:abstractNumId="3">
    <w:nsid w:val="4F373997"/>
    <w:multiLevelType w:val="hybridMultilevel"/>
    <w:tmpl w:val="0F02342E"/>
    <w:lvl w:ilvl="0" w:tplc="2182F46A">
      <w:start w:val="1"/>
      <w:numFmt w:val="upperRoman"/>
      <w:lvlText w:val="%1"/>
      <w:lvlJc w:val="left"/>
      <w:pPr>
        <w:ind w:left="528" w:hanging="151"/>
        <w:jc w:val="left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441668D2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A560E398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EDFC7148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7B4221DC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7F88EA86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CE869BAC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AB0C72B4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E42ACCDA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4">
    <w:nsid w:val="653856B1"/>
    <w:multiLevelType w:val="multilevel"/>
    <w:tmpl w:val="6694C7E4"/>
    <w:lvl w:ilvl="0">
      <w:start w:val="1"/>
      <w:numFmt w:val="lowerLetter"/>
      <w:lvlText w:val="%1)"/>
      <w:lvlJc w:val="left"/>
      <w:pPr>
        <w:ind w:left="108" w:hanging="316"/>
        <w:jc w:val="left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>
      <w:start w:val="1"/>
      <w:numFmt w:val="decimal"/>
      <w:lvlText w:val="%1.%2)"/>
      <w:lvlJc w:val="left"/>
      <w:pPr>
        <w:ind w:left="108" w:hanging="593"/>
        <w:jc w:val="left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2">
      <w:start w:val="1"/>
      <w:numFmt w:val="bullet"/>
      <w:lvlText w:val="•"/>
      <w:lvlJc w:val="left"/>
      <w:pPr>
        <w:ind w:left="1813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9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2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9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5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593"/>
      </w:pPr>
      <w:rPr>
        <w:rFonts w:hint="default"/>
      </w:rPr>
    </w:lvl>
  </w:abstractNum>
  <w:abstractNum w:abstractNumId="5">
    <w:nsid w:val="7A8D3A9B"/>
    <w:multiLevelType w:val="hybridMultilevel"/>
    <w:tmpl w:val="93A2292C"/>
    <w:lvl w:ilvl="0" w:tplc="C98EE1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2854"/>
    <w:rsid w:val="00062854"/>
    <w:rsid w:val="00122BBA"/>
    <w:rsid w:val="00134AC6"/>
    <w:rsid w:val="00312B22"/>
    <w:rsid w:val="003E5118"/>
    <w:rsid w:val="00622F76"/>
    <w:rsid w:val="00750A63"/>
    <w:rsid w:val="00772FE2"/>
    <w:rsid w:val="007A5AD2"/>
    <w:rsid w:val="0085146A"/>
    <w:rsid w:val="009E40F6"/>
    <w:rsid w:val="00A20D77"/>
    <w:rsid w:val="00A31455"/>
    <w:rsid w:val="00B975F9"/>
    <w:rsid w:val="00C0505B"/>
    <w:rsid w:val="00D917F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1">
    <w:name w:val="heading 1"/>
    <w:basedOn w:val="Normal"/>
    <w:link w:val="Ttulo1Char"/>
    <w:uiPriority w:val="1"/>
    <w:qFormat/>
    <w:rsid w:val="00062854"/>
    <w:pPr>
      <w:widowControl w:val="0"/>
      <w:spacing w:after="0" w:line="326" w:lineRule="exact"/>
      <w:ind w:left="40"/>
      <w:outlineLvl w:val="0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Ttulo2">
    <w:name w:val="heading 2"/>
    <w:basedOn w:val="Normal"/>
    <w:link w:val="Ttulo2Char"/>
    <w:uiPriority w:val="1"/>
    <w:qFormat/>
    <w:rsid w:val="00062854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paragraph" w:styleId="Ttulo3">
    <w:name w:val="heading 3"/>
    <w:basedOn w:val="Normal"/>
    <w:link w:val="Ttulo3Char"/>
    <w:uiPriority w:val="1"/>
    <w:qFormat/>
    <w:rsid w:val="00062854"/>
    <w:pPr>
      <w:widowControl w:val="0"/>
      <w:spacing w:before="64" w:after="0" w:line="240" w:lineRule="auto"/>
      <w:ind w:left="107" w:hanging="300"/>
      <w:jc w:val="both"/>
      <w:outlineLvl w:val="2"/>
    </w:pPr>
    <w:rPr>
      <w:rFonts w:ascii="Arial" w:eastAsia="Arial" w:hAnsi="Arial" w:cs="Arial"/>
      <w:b/>
      <w:bCs/>
      <w:i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62854"/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062854"/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062854"/>
    <w:rPr>
      <w:rFonts w:ascii="Arial" w:eastAsia="Arial" w:hAnsi="Arial" w:cs="Arial"/>
      <w:b/>
      <w:bCs/>
      <w:i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0628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062854"/>
    <w:pPr>
      <w:widowControl w:val="0"/>
      <w:spacing w:before="66" w:after="0" w:line="240" w:lineRule="auto"/>
      <w:ind w:left="153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Sumrio2">
    <w:name w:val="toc 2"/>
    <w:basedOn w:val="Normal"/>
    <w:uiPriority w:val="1"/>
    <w:qFormat/>
    <w:rsid w:val="00062854"/>
    <w:pPr>
      <w:widowControl w:val="0"/>
      <w:spacing w:before="60" w:after="0" w:line="240" w:lineRule="auto"/>
      <w:ind w:left="963" w:hanging="525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62854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62854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062854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6285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62854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6285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062854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062854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854"/>
    <w:pPr>
      <w:widowControl w:val="0"/>
      <w:spacing w:after="0" w:line="240" w:lineRule="auto"/>
    </w:pPr>
    <w:rPr>
      <w:rFonts w:ascii="Tahoma" w:eastAsia="Arial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854"/>
    <w:rPr>
      <w:rFonts w:ascii="Tahoma" w:eastAsia="Arial" w:hAnsi="Tahoma" w:cs="Tahoma"/>
      <w:sz w:val="16"/>
      <w:szCs w:val="16"/>
      <w:lang w:val="en-US"/>
    </w:rPr>
  </w:style>
  <w:style w:type="paragraph" w:customStyle="1" w:styleId="Corpodotexto">
    <w:name w:val="Corpo do texto"/>
    <w:basedOn w:val="Normal"/>
    <w:uiPriority w:val="1"/>
    <w:qFormat/>
    <w:rsid w:val="00C0505B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4820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2016-03-15T01:58:00Z</dcterms:created>
  <dcterms:modified xsi:type="dcterms:W3CDTF">2016-03-20T04:13:00Z</dcterms:modified>
</cp:coreProperties>
</file>